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FF" w:rsidRPr="00C84BBB" w:rsidRDefault="003436E2" w:rsidP="00C84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</w:t>
      </w:r>
      <w:r w:rsidR="00D9285C">
        <w:rPr>
          <w:b/>
          <w:sz w:val="28"/>
          <w:szCs w:val="28"/>
        </w:rPr>
        <w:t xml:space="preserve"> SCIENCE</w:t>
      </w:r>
      <w:r w:rsidR="002F4BFF" w:rsidRPr="00C84BBB">
        <w:rPr>
          <w:b/>
          <w:sz w:val="28"/>
          <w:szCs w:val="28"/>
        </w:rPr>
        <w:t xml:space="preserve"> II </w:t>
      </w:r>
      <w:r w:rsidR="002F4BFF" w:rsidRPr="00C84BBB">
        <w:rPr>
          <w:b/>
          <w:sz w:val="28"/>
          <w:szCs w:val="28"/>
        </w:rPr>
        <w:br/>
        <w:t>SYLLABUS</w:t>
      </w:r>
    </w:p>
    <w:p w:rsidR="002F4BFF" w:rsidRPr="00A87269" w:rsidRDefault="002F4BFF">
      <w:r w:rsidRPr="00A86DB4">
        <w:rPr>
          <w:b/>
        </w:rPr>
        <w:t>INSTRUCTOR</w:t>
      </w:r>
      <w:r w:rsidRPr="00A87269">
        <w:t>: Mrs. Judy Grice RN</w:t>
      </w:r>
    </w:p>
    <w:p w:rsidR="002F4BFF" w:rsidRPr="00A87269" w:rsidRDefault="002F4BFF">
      <w:r w:rsidRPr="00A86DB4">
        <w:rPr>
          <w:b/>
        </w:rPr>
        <w:t>OFFICE/ROOM LOCATIO</w:t>
      </w:r>
      <w:r w:rsidR="00A87269" w:rsidRPr="00A86DB4">
        <w:rPr>
          <w:b/>
        </w:rPr>
        <w:t>N</w:t>
      </w:r>
      <w:r w:rsidRPr="00A86DB4">
        <w:rPr>
          <w:b/>
        </w:rPr>
        <w:t>:</w:t>
      </w:r>
      <w:r w:rsidRPr="00A87269">
        <w:t xml:space="preserve"> Vocational/Technology Building --- Room T-6</w:t>
      </w:r>
    </w:p>
    <w:p w:rsidR="002F4BFF" w:rsidRPr="00A87269" w:rsidRDefault="002F4BFF">
      <w:r w:rsidRPr="00A86DB4">
        <w:rPr>
          <w:b/>
        </w:rPr>
        <w:t>Phone:</w:t>
      </w:r>
      <w:r w:rsidRPr="00A87269">
        <w:t xml:space="preserve"> 601-582-4741</w:t>
      </w:r>
    </w:p>
    <w:p w:rsidR="00D9285C" w:rsidRDefault="002F4BFF" w:rsidP="002F4BFF">
      <w:r w:rsidRPr="00A87269">
        <w:rPr>
          <w:b/>
          <w:u w:val="single"/>
        </w:rPr>
        <w:t>PROGRAM DESCRIPTION</w:t>
      </w:r>
      <w:proofErr w:type="gramStart"/>
      <w:r w:rsidRPr="00A87269">
        <w:rPr>
          <w:b/>
          <w:u w:val="single"/>
        </w:rPr>
        <w:t>:</w:t>
      </w:r>
      <w:proofErr w:type="gramEnd"/>
      <w:r w:rsidR="00C84BBB" w:rsidRPr="00A87269">
        <w:rPr>
          <w:b/>
          <w:u w:val="single"/>
        </w:rPr>
        <w:br/>
      </w:r>
      <w:r w:rsidRPr="00A87269">
        <w:t xml:space="preserve">The emphasis of the second year is primarily to expose students to advanced skills in the various health occupations and the basic health-care sciences.  Students may participate in shadowing experiences in selected health-care facilities.  Upon completion of the second-year advanced course, students will be trained to work as entry-level assistants in various health occupations and will be certified in CPR at the health-care provider level.  This course </w:t>
      </w:r>
      <w:r w:rsidR="00D9285C">
        <w:t>offers</w:t>
      </w:r>
      <w:r w:rsidRPr="00A87269">
        <w:t xml:space="preserve"> 2.0 </w:t>
      </w:r>
      <w:r w:rsidR="00D9285C">
        <w:t>C</w:t>
      </w:r>
      <w:r w:rsidRPr="00A87269">
        <w:t xml:space="preserve">arnegie </w:t>
      </w:r>
      <w:r w:rsidR="00D9285C">
        <w:t>u</w:t>
      </w:r>
      <w:r w:rsidRPr="00A87269">
        <w:t xml:space="preserve">nits.  Students who complete </w:t>
      </w:r>
      <w:r w:rsidR="003436E2">
        <w:t>Health</w:t>
      </w:r>
      <w:r w:rsidR="00D9285C">
        <w:t xml:space="preserve"> Sciences</w:t>
      </w:r>
      <w:r w:rsidRPr="00A87269">
        <w:t xml:space="preserve"> II may count one of the credits earned in this course as one science credit toward graduation requirements if they complete both years of the </w:t>
      </w:r>
      <w:r w:rsidR="003436E2">
        <w:t>Allied Health</w:t>
      </w:r>
      <w:r w:rsidRPr="00A87269">
        <w:t xml:space="preserve"> program.</w:t>
      </w:r>
      <w:r w:rsidR="00F85888" w:rsidRPr="00A87269">
        <w:t xml:space="preserve">  </w:t>
      </w:r>
    </w:p>
    <w:p w:rsidR="002F4BFF" w:rsidRPr="00A87269" w:rsidRDefault="002F4BFF" w:rsidP="002F4BFF">
      <w:r w:rsidRPr="00A87269">
        <w:t xml:space="preserve">This program includes a minimum of 100 hours of clinical-type experience </w:t>
      </w:r>
      <w:r w:rsidR="00D9285C">
        <w:t>during the second course</w:t>
      </w:r>
      <w:r w:rsidRPr="00A87269">
        <w:t>.  This clinical-type experience can include tours of health-care-facilities, guest speakers, laboratory/practice/demonstration in the classroom, and observation experiences in medical facilities.</w:t>
      </w:r>
    </w:p>
    <w:p w:rsidR="00EF3155" w:rsidRPr="00B73526" w:rsidRDefault="00EF3155" w:rsidP="00EF3155">
      <w:pPr>
        <w:rPr>
          <w:b/>
          <w:color w:val="000000" w:themeColor="text1"/>
        </w:rPr>
      </w:pPr>
      <w:r w:rsidRPr="00B73526">
        <w:rPr>
          <w:b/>
          <w:color w:val="000000" w:themeColor="text1"/>
        </w:rPr>
        <w:t>Course Name</w:t>
      </w:r>
      <w:r w:rsidRPr="00B73526">
        <w:rPr>
          <w:color w:val="000000" w:themeColor="text1"/>
        </w:rPr>
        <w:t xml:space="preserve"> </w:t>
      </w:r>
      <w:r w:rsidRPr="00B73526">
        <w:t>Health</w:t>
      </w:r>
      <w:r>
        <w:t>c</w:t>
      </w:r>
      <w:r w:rsidRPr="00B73526">
        <w:t xml:space="preserve">are </w:t>
      </w:r>
      <w:r w:rsidRPr="00B73526">
        <w:rPr>
          <w:color w:val="000000" w:themeColor="text1"/>
        </w:rPr>
        <w:t>and Clinical Services II</w:t>
      </w:r>
      <w:r>
        <w:rPr>
          <w:color w:val="000000" w:themeColor="text1"/>
        </w:rPr>
        <w:t xml:space="preserve"> </w:t>
      </w:r>
      <w:r w:rsidRPr="00B73526">
        <w:rPr>
          <w:b/>
          <w:color w:val="000000" w:themeColor="text1"/>
        </w:rPr>
        <w:t>—</w:t>
      </w:r>
      <w:r>
        <w:rPr>
          <w:b/>
          <w:color w:val="000000" w:themeColor="text1"/>
        </w:rPr>
        <w:t xml:space="preserve"> </w:t>
      </w:r>
      <w:r w:rsidRPr="00B73526">
        <w:rPr>
          <w:b/>
          <w:color w:val="000000" w:themeColor="text1"/>
        </w:rPr>
        <w:t xml:space="preserve">Course Code: </w:t>
      </w:r>
      <w:r w:rsidRPr="00B73526">
        <w:rPr>
          <w:color w:val="000000" w:themeColor="text1"/>
        </w:rPr>
        <w:t>995101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/>
      </w:tblPr>
      <w:tblGrid>
        <w:gridCol w:w="1368"/>
        <w:gridCol w:w="7060"/>
        <w:gridCol w:w="1148"/>
      </w:tblGrid>
      <w:tr w:rsidR="00EF3155" w:rsidRPr="00B73526" w:rsidTr="005351B6">
        <w:trPr>
          <w:trHeight w:hRule="exact" w:val="288"/>
        </w:trPr>
        <w:tc>
          <w:tcPr>
            <w:tcW w:w="1368" w:type="dxa"/>
          </w:tcPr>
          <w:p w:rsidR="00EF3155" w:rsidRPr="00B73526" w:rsidRDefault="00EF3155" w:rsidP="005351B6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26">
              <w:rPr>
                <w:rFonts w:ascii="Times New Roman" w:hAnsi="Times New Roman"/>
                <w:bCs/>
                <w:sz w:val="24"/>
                <w:szCs w:val="24"/>
              </w:rPr>
              <w:t>Unit Number</w:t>
            </w:r>
          </w:p>
        </w:tc>
        <w:tc>
          <w:tcPr>
            <w:tcW w:w="7060" w:type="dxa"/>
            <w:vAlign w:val="center"/>
          </w:tcPr>
          <w:p w:rsidR="00EF3155" w:rsidRPr="00B73526" w:rsidRDefault="00EF3155" w:rsidP="005351B6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26">
              <w:rPr>
                <w:rFonts w:ascii="Times New Roman" w:hAnsi="Times New Roman"/>
                <w:bCs/>
                <w:sz w:val="24"/>
                <w:szCs w:val="24"/>
              </w:rPr>
              <w:t>Unit Name</w:t>
            </w:r>
          </w:p>
        </w:tc>
        <w:tc>
          <w:tcPr>
            <w:tcW w:w="1148" w:type="dxa"/>
            <w:vAlign w:val="center"/>
          </w:tcPr>
          <w:p w:rsidR="00EF3155" w:rsidRPr="00B73526" w:rsidRDefault="00EF3155" w:rsidP="005351B6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26">
              <w:rPr>
                <w:rFonts w:ascii="Times New Roman" w:hAnsi="Times New Roman"/>
                <w:bCs/>
                <w:sz w:val="24"/>
                <w:szCs w:val="24"/>
              </w:rPr>
              <w:t>Hours</w:t>
            </w:r>
          </w:p>
        </w:tc>
      </w:tr>
      <w:tr w:rsidR="00EF3155" w:rsidRPr="00B73526" w:rsidTr="005351B6">
        <w:trPr>
          <w:trHeight w:hRule="exact" w:val="288"/>
        </w:trPr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60" w:type="dxa"/>
            <w:tcBorders>
              <w:bottom w:val="sing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rPr>
                <w:bCs/>
              </w:rPr>
            </w:pPr>
            <w:r w:rsidRPr="00B73526">
              <w:rPr>
                <w:bCs/>
              </w:rPr>
              <w:t>Human Growth and Development</w:t>
            </w:r>
          </w:p>
        </w:tc>
        <w:tc>
          <w:tcPr>
            <w:tcW w:w="1148" w:type="dxa"/>
            <w:tcBorders>
              <w:bottom w:val="sing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EF3155" w:rsidRPr="00B73526" w:rsidTr="005351B6">
        <w:trPr>
          <w:trHeight w:hRule="exact" w:val="288"/>
        </w:trPr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60" w:type="dxa"/>
            <w:tcBorders>
              <w:bottom w:val="sing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rPr>
                <w:bCs/>
              </w:rPr>
            </w:pPr>
            <w:r>
              <w:rPr>
                <w:bCs/>
              </w:rPr>
              <w:t xml:space="preserve">Employability, Health Informatics, </w:t>
            </w:r>
            <w:r w:rsidRPr="00B73526">
              <w:rPr>
                <w:bCs/>
              </w:rPr>
              <w:t>Information Technology</w:t>
            </w:r>
          </w:p>
        </w:tc>
        <w:tc>
          <w:tcPr>
            <w:tcW w:w="1148" w:type="dxa"/>
            <w:tcBorders>
              <w:bottom w:val="sing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EF3155" w:rsidRPr="00B73526" w:rsidTr="005351B6">
        <w:trPr>
          <w:trHeight w:hRule="exact" w:val="288"/>
        </w:trPr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60" w:type="dxa"/>
            <w:tcBorders>
              <w:bottom w:val="sing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rPr>
                <w:bCs/>
              </w:rPr>
            </w:pPr>
            <w:r w:rsidRPr="00B73526">
              <w:rPr>
                <w:bCs/>
              </w:rPr>
              <w:t xml:space="preserve">Therapeutic </w:t>
            </w:r>
            <w:r>
              <w:rPr>
                <w:bCs/>
              </w:rPr>
              <w:t xml:space="preserve">and </w:t>
            </w:r>
            <w:r w:rsidRPr="00B73526">
              <w:rPr>
                <w:bCs/>
              </w:rPr>
              <w:t>Rehabilitative Services</w:t>
            </w:r>
          </w:p>
        </w:tc>
        <w:tc>
          <w:tcPr>
            <w:tcW w:w="1148" w:type="dxa"/>
            <w:tcBorders>
              <w:bottom w:val="sing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EF3155" w:rsidRPr="00B73526" w:rsidTr="005351B6">
        <w:trPr>
          <w:trHeight w:hRule="exact" w:val="288"/>
        </w:trPr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60" w:type="dxa"/>
            <w:tcBorders>
              <w:bottom w:val="sing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rPr>
                <w:bCs/>
              </w:rPr>
            </w:pPr>
            <w:r w:rsidRPr="00B73526">
              <w:rPr>
                <w:bCs/>
              </w:rPr>
              <w:t xml:space="preserve">Mental Health </w:t>
            </w:r>
            <w:r>
              <w:rPr>
                <w:bCs/>
              </w:rPr>
              <w:t xml:space="preserve">and </w:t>
            </w:r>
            <w:r w:rsidRPr="00B73526">
              <w:rPr>
                <w:bCs/>
              </w:rPr>
              <w:t>Pharmacological Services</w:t>
            </w:r>
          </w:p>
        </w:tc>
        <w:tc>
          <w:tcPr>
            <w:tcW w:w="1148" w:type="dxa"/>
            <w:tcBorders>
              <w:bottom w:val="sing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EF3155" w:rsidRPr="00B73526" w:rsidTr="005351B6">
        <w:trPr>
          <w:trHeight w:hRule="exact" w:val="288"/>
        </w:trPr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60" w:type="dxa"/>
            <w:tcBorders>
              <w:bottom w:val="sing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rPr>
                <w:bCs/>
              </w:rPr>
            </w:pPr>
            <w:r>
              <w:rPr>
                <w:bCs/>
              </w:rPr>
              <w:t xml:space="preserve">Diagnostic, </w:t>
            </w:r>
            <w:r w:rsidRPr="00B73526">
              <w:rPr>
                <w:bCs/>
              </w:rPr>
              <w:t>Medical</w:t>
            </w:r>
            <w:r>
              <w:rPr>
                <w:bCs/>
              </w:rPr>
              <w:t>, and Emergency</w:t>
            </w:r>
            <w:r w:rsidRPr="00B73526">
              <w:rPr>
                <w:bCs/>
              </w:rPr>
              <w:t xml:space="preserve"> Services</w:t>
            </w:r>
          </w:p>
        </w:tc>
        <w:tc>
          <w:tcPr>
            <w:tcW w:w="1148" w:type="dxa"/>
            <w:tcBorders>
              <w:bottom w:val="sing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EF3155" w:rsidRPr="00B73526" w:rsidTr="005351B6">
        <w:trPr>
          <w:trHeight w:hRule="exact" w:val="288"/>
        </w:trPr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60" w:type="dxa"/>
            <w:tcBorders>
              <w:bottom w:val="sing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rPr>
                <w:bCs/>
              </w:rPr>
            </w:pPr>
            <w:r w:rsidRPr="00B73526">
              <w:rPr>
                <w:bCs/>
              </w:rPr>
              <w:t>Technical Skills</w:t>
            </w:r>
          </w:p>
        </w:tc>
        <w:tc>
          <w:tcPr>
            <w:tcW w:w="1148" w:type="dxa"/>
            <w:tcBorders>
              <w:bottom w:val="sing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EF3155" w:rsidRPr="00B73526" w:rsidTr="005351B6">
        <w:trPr>
          <w:trHeight w:hRule="exact" w:val="288"/>
        </w:trPr>
        <w:tc>
          <w:tcPr>
            <w:tcW w:w="1368" w:type="dxa"/>
            <w:tcBorders>
              <w:bottom w:val="doub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60" w:type="dxa"/>
            <w:tcBorders>
              <w:bottom w:val="doub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rPr>
                <w:bCs/>
              </w:rPr>
            </w:pPr>
            <w:r w:rsidRPr="00B73526">
              <w:rPr>
                <w:bCs/>
              </w:rPr>
              <w:t>Nursing Services</w:t>
            </w:r>
          </w:p>
        </w:tc>
        <w:tc>
          <w:tcPr>
            <w:tcW w:w="1148" w:type="dxa"/>
            <w:tcBorders>
              <w:bottom w:val="doub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rPr>
                <w:bCs/>
              </w:rPr>
            </w:pPr>
            <w:r>
              <w:rPr>
                <w:bCs/>
              </w:rPr>
              <w:t>3</w:t>
            </w:r>
            <w:r w:rsidRPr="00B73526">
              <w:rPr>
                <w:bCs/>
              </w:rPr>
              <w:t>0</w:t>
            </w:r>
          </w:p>
        </w:tc>
      </w:tr>
      <w:tr w:rsidR="00EF3155" w:rsidRPr="00B73526" w:rsidTr="005351B6">
        <w:trPr>
          <w:trHeight w:hRule="exact" w:val="288"/>
        </w:trPr>
        <w:tc>
          <w:tcPr>
            <w:tcW w:w="1368" w:type="dxa"/>
            <w:tcBorders>
              <w:top w:val="doub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jc w:val="center"/>
              <w:rPr>
                <w:bCs/>
              </w:rPr>
            </w:pPr>
            <w:r w:rsidRPr="00B73526">
              <w:rPr>
                <w:bCs/>
              </w:rPr>
              <w:t>Total</w:t>
            </w:r>
          </w:p>
        </w:tc>
        <w:tc>
          <w:tcPr>
            <w:tcW w:w="7060" w:type="dxa"/>
            <w:tcBorders>
              <w:top w:val="doub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rPr>
                <w:bCs/>
              </w:rPr>
            </w:pPr>
          </w:p>
        </w:tc>
        <w:tc>
          <w:tcPr>
            <w:tcW w:w="1148" w:type="dxa"/>
            <w:tcBorders>
              <w:top w:val="double" w:sz="4" w:space="0" w:color="000000" w:themeColor="text1"/>
            </w:tcBorders>
          </w:tcPr>
          <w:p w:rsidR="00EF3155" w:rsidRPr="00B73526" w:rsidRDefault="00EF3155" w:rsidP="005351B6">
            <w:pPr>
              <w:spacing w:line="480" w:lineRule="auto"/>
              <w:rPr>
                <w:bCs/>
                <w:highlight w:val="yellow"/>
              </w:rPr>
            </w:pPr>
            <w:r w:rsidRPr="00B73526">
              <w:rPr>
                <w:bCs/>
              </w:rPr>
              <w:t>2</w:t>
            </w:r>
            <w:r>
              <w:rPr>
                <w:bCs/>
              </w:rPr>
              <w:t>8</w:t>
            </w:r>
            <w:r w:rsidRPr="00B73526">
              <w:rPr>
                <w:bCs/>
              </w:rPr>
              <w:t>0</w:t>
            </w:r>
          </w:p>
        </w:tc>
      </w:tr>
    </w:tbl>
    <w:p w:rsidR="00335FB3" w:rsidRPr="00A87269" w:rsidRDefault="00335FB3" w:rsidP="002F4BFF">
      <w:pPr>
        <w:rPr>
          <w:b/>
          <w:u w:val="single"/>
        </w:rPr>
      </w:pPr>
    </w:p>
    <w:p w:rsidR="00F85888" w:rsidRPr="00A87269" w:rsidRDefault="00D9285C" w:rsidP="00181D06">
      <w:r>
        <w:rPr>
          <w:b/>
          <w:u w:val="single"/>
        </w:rPr>
        <w:t>H</w:t>
      </w:r>
      <w:r w:rsidR="00F85888" w:rsidRPr="00A87269">
        <w:rPr>
          <w:b/>
          <w:u w:val="single"/>
        </w:rPr>
        <w:t>EALTH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SCIENCE </w:t>
      </w:r>
      <w:r w:rsidR="00F85888" w:rsidRPr="00A87269">
        <w:rPr>
          <w:b/>
          <w:u w:val="single"/>
        </w:rPr>
        <w:t xml:space="preserve"> II</w:t>
      </w:r>
      <w:proofErr w:type="gramEnd"/>
      <w:r w:rsidR="00F85888" w:rsidRPr="00A87269">
        <w:rPr>
          <w:b/>
          <w:u w:val="single"/>
        </w:rPr>
        <w:t xml:space="preserve"> PROGRAM REQUIREMENTS:</w:t>
      </w:r>
      <w:r w:rsidR="00F85888" w:rsidRPr="00A87269">
        <w:rPr>
          <w:b/>
          <w:u w:val="single"/>
        </w:rPr>
        <w:br/>
      </w:r>
      <w:r w:rsidR="00F85888" w:rsidRPr="00A87269">
        <w:t>1.     Must be in 11</w:t>
      </w:r>
      <w:r w:rsidR="00F85888" w:rsidRPr="00A87269">
        <w:rPr>
          <w:vertAlign w:val="superscript"/>
        </w:rPr>
        <w:t>th</w:t>
      </w:r>
      <w:r w:rsidR="00F85888" w:rsidRPr="00A87269">
        <w:t xml:space="preserve"> or 12</w:t>
      </w:r>
      <w:r w:rsidR="00F85888" w:rsidRPr="00A87269">
        <w:rPr>
          <w:vertAlign w:val="superscript"/>
        </w:rPr>
        <w:t>th</w:t>
      </w:r>
      <w:r w:rsidR="00F85888" w:rsidRPr="00A87269">
        <w:t xml:space="preserve"> grade.     </w:t>
      </w:r>
      <w:r w:rsidR="00F85888" w:rsidRPr="00A87269">
        <w:br/>
        <w:t>2.     Must have a serious interest in a medical career.</w:t>
      </w:r>
      <w:r w:rsidR="00F85888" w:rsidRPr="00A87269">
        <w:br/>
        <w:t xml:space="preserve">3.     Must have a method of transportation to and from </w:t>
      </w:r>
      <w:proofErr w:type="spellStart"/>
      <w:r w:rsidR="00F85888" w:rsidRPr="00A87269">
        <w:t>clinicals</w:t>
      </w:r>
      <w:proofErr w:type="spellEnd"/>
      <w:r w:rsidR="00F85888" w:rsidRPr="00A87269">
        <w:t xml:space="preserve"> in order to obtain the required 100 hours of  </w:t>
      </w:r>
      <w:r w:rsidR="00F85888" w:rsidRPr="00A87269">
        <w:br/>
        <w:t xml:space="preserve">        clinical experience.</w:t>
      </w:r>
      <w:r w:rsidR="00F85888" w:rsidRPr="00A87269">
        <w:br/>
        <w:t xml:space="preserve">4.     Must have a valid driver’s license and vehicle insurance (if riding with another student this must be </w:t>
      </w:r>
      <w:r w:rsidR="00F85888" w:rsidRPr="00A87269">
        <w:br/>
        <w:t xml:space="preserve">        agreed upon in writing by the student and their parents prior to returning to the program).</w:t>
      </w:r>
      <w:r w:rsidR="00F85888" w:rsidRPr="00A87269">
        <w:br/>
        <w:t xml:space="preserve">5.     Must make arrangements with parent and/or guardian to carry a health insurance policy and any liability </w:t>
      </w:r>
      <w:r w:rsidR="00F85888" w:rsidRPr="00A87269">
        <w:br/>
        <w:t xml:space="preserve">        insurance the school deems appropriate. </w:t>
      </w:r>
      <w:r w:rsidR="00A87269" w:rsidRPr="00A87269">
        <w:br/>
      </w:r>
      <w:r w:rsidR="00F85888" w:rsidRPr="00A87269">
        <w:t>6.     Purchase a clinical scrub uniform and name badge.</w:t>
      </w:r>
      <w:r w:rsidR="00F85888" w:rsidRPr="00A87269">
        <w:br/>
        <w:t>7.     Obtain necessary vaccinations (hepatitis B series, updated Tetanus, and TB skin test) or notarized declination.</w:t>
      </w:r>
      <w:r w:rsidR="00F85888" w:rsidRPr="00A87269">
        <w:br/>
        <w:t xml:space="preserve">8.     Maintain a minimum overall 75 average in all classes (students not meeting this requirement will not be eligible to attend clinical). </w:t>
      </w:r>
      <w:r w:rsidR="00F85888" w:rsidRPr="00A87269">
        <w:br/>
        <w:t>9.     Good conduct record (Written referrals are limited to a minimum of only 3 level 1-2, and a minimum of 0 level 3-5).</w:t>
      </w:r>
      <w:r w:rsidR="00F85888" w:rsidRPr="00A87269">
        <w:br/>
      </w:r>
      <w:r>
        <w:t>10.   Good attendance record.</w:t>
      </w:r>
    </w:p>
    <w:p w:rsidR="00A87269" w:rsidRPr="00A87269" w:rsidRDefault="00D920E4" w:rsidP="00F85888">
      <w:r w:rsidRPr="00A87269">
        <w:rPr>
          <w:b/>
          <w:u w:val="single"/>
        </w:rPr>
        <w:lastRenderedPageBreak/>
        <w:t>General Information</w:t>
      </w:r>
      <w:proofErr w:type="gramStart"/>
      <w:r w:rsidRPr="00A87269">
        <w:rPr>
          <w:b/>
          <w:u w:val="single"/>
        </w:rPr>
        <w:t>:</w:t>
      </w:r>
      <w:proofErr w:type="gramEnd"/>
      <w:r w:rsidR="007622EF" w:rsidRPr="00A87269">
        <w:rPr>
          <w:b/>
          <w:u w:val="single"/>
        </w:rPr>
        <w:br/>
      </w:r>
      <w:r w:rsidR="007622EF" w:rsidRPr="00A87269">
        <w:t xml:space="preserve">A.  </w:t>
      </w:r>
      <w:r w:rsidRPr="00A87269">
        <w:t xml:space="preserve">Time: Each class meets for a total of </w:t>
      </w:r>
      <w:r w:rsidR="00D80E2B" w:rsidRPr="00A87269">
        <w:t>100</w:t>
      </w:r>
      <w:r w:rsidRPr="00A87269">
        <w:t xml:space="preserve"> minutes per day. </w:t>
      </w:r>
      <w:r w:rsidR="00181D06" w:rsidRPr="00A87269">
        <w:br/>
        <w:t>B. Grade Level: 11</w:t>
      </w:r>
      <w:r w:rsidR="00181D06" w:rsidRPr="00A87269">
        <w:rPr>
          <w:vertAlign w:val="superscript"/>
        </w:rPr>
        <w:t>th</w:t>
      </w:r>
      <w:r w:rsidR="00181D06" w:rsidRPr="00A87269">
        <w:t xml:space="preserve"> and </w:t>
      </w:r>
      <w:proofErr w:type="gramStart"/>
      <w:r w:rsidR="00181D06" w:rsidRPr="00A87269">
        <w:t>12</w:t>
      </w:r>
      <w:r w:rsidR="00181D06" w:rsidRPr="00A87269">
        <w:rPr>
          <w:vertAlign w:val="superscript"/>
        </w:rPr>
        <w:t>th</w:t>
      </w:r>
      <w:r w:rsidR="00181D06" w:rsidRPr="00A87269">
        <w:t xml:space="preserve"> </w:t>
      </w:r>
      <w:r w:rsidRPr="00A87269">
        <w:t xml:space="preserve"> </w:t>
      </w:r>
      <w:proofErr w:type="gramEnd"/>
      <w:r w:rsidR="007622EF" w:rsidRPr="00A87269">
        <w:rPr>
          <w:b/>
          <w:u w:val="single"/>
        </w:rPr>
        <w:br/>
      </w:r>
      <w:r w:rsidR="00C46BE1" w:rsidRPr="00A87269">
        <w:t>C</w:t>
      </w:r>
      <w:r w:rsidR="007622EF" w:rsidRPr="00A87269">
        <w:t xml:space="preserve">.  </w:t>
      </w:r>
      <w:r w:rsidR="006245AA" w:rsidRPr="00A87269">
        <w:t xml:space="preserve">Location: Technology Building Room T-6 or at assigned clinical setting. </w:t>
      </w:r>
      <w:r w:rsidR="00C46BE1" w:rsidRPr="00A87269">
        <w:br/>
        <w:t>D</w:t>
      </w:r>
      <w:r w:rsidR="007622EF" w:rsidRPr="00A87269">
        <w:t xml:space="preserve">.  </w:t>
      </w:r>
      <w:r w:rsidR="00731B49" w:rsidRPr="00A87269">
        <w:t>Clinical</w:t>
      </w:r>
      <w:r w:rsidR="006245AA" w:rsidRPr="00A87269">
        <w:t>: For most of the year, this time is spent away from the classroom and in</w:t>
      </w:r>
      <w:r w:rsidR="0031327D" w:rsidRPr="00A87269">
        <w:t xml:space="preserve"> a</w:t>
      </w:r>
      <w:r w:rsidR="006245AA" w:rsidRPr="00A87269">
        <w:t xml:space="preserve"> clinical setting. During clinical rotation first block </w:t>
      </w:r>
      <w:r w:rsidR="00A87269" w:rsidRPr="00A87269">
        <w:t>will</w:t>
      </w:r>
      <w:r w:rsidR="006245AA" w:rsidRPr="00A87269">
        <w:t xml:space="preserve"> leave from home and meet the instructor at site, clinical time will be 50 to 75 minutes and travel time allotted to return to school is 25 minutes. </w:t>
      </w:r>
    </w:p>
    <w:p w:rsidR="006245AA" w:rsidRPr="00A87269" w:rsidRDefault="00C46BE1" w:rsidP="00F85888">
      <w:r w:rsidRPr="00A87269">
        <w:t>E</w:t>
      </w:r>
      <w:r w:rsidR="007622EF" w:rsidRPr="00A87269">
        <w:t xml:space="preserve">.  </w:t>
      </w:r>
      <w:r w:rsidR="006245AA" w:rsidRPr="00A87269">
        <w:t>Dress:</w:t>
      </w:r>
      <w:r w:rsidR="007622EF" w:rsidRPr="00A87269">
        <w:br/>
        <w:t xml:space="preserve">     1</w:t>
      </w:r>
      <w:proofErr w:type="gramStart"/>
      <w:r w:rsidR="007622EF" w:rsidRPr="00A87269">
        <w:t xml:space="preserve">.  </w:t>
      </w:r>
      <w:r w:rsidR="006245AA" w:rsidRPr="00A87269">
        <w:t>Refer</w:t>
      </w:r>
      <w:proofErr w:type="gramEnd"/>
      <w:r w:rsidR="006245AA" w:rsidRPr="00A87269">
        <w:t xml:space="preserve"> to dress code in the student handbook for campus attire.</w:t>
      </w:r>
      <w:r w:rsidR="007622EF" w:rsidRPr="00A87269">
        <w:br/>
        <w:t xml:space="preserve">     2.  </w:t>
      </w:r>
      <w:r w:rsidR="00731B49" w:rsidRPr="00A87269">
        <w:t xml:space="preserve">Refer to Clinical </w:t>
      </w:r>
      <w:r w:rsidR="00360E91" w:rsidRPr="00A87269">
        <w:t xml:space="preserve">Uniform </w:t>
      </w:r>
      <w:r w:rsidR="00731B49" w:rsidRPr="00A87269">
        <w:t xml:space="preserve">letter for </w:t>
      </w:r>
      <w:r w:rsidR="00360E91" w:rsidRPr="00A87269">
        <w:t xml:space="preserve">clinical </w:t>
      </w:r>
      <w:r w:rsidR="00731B49" w:rsidRPr="00A87269">
        <w:t>dress code</w:t>
      </w:r>
      <w:r w:rsidR="00360E91" w:rsidRPr="00A87269">
        <w:t>.</w:t>
      </w:r>
      <w:r w:rsidR="006245AA" w:rsidRPr="00A87269">
        <w:t xml:space="preserve"> </w:t>
      </w:r>
      <w:r w:rsidRPr="00A87269">
        <w:br/>
        <w:t>F</w:t>
      </w:r>
      <w:r w:rsidR="007622EF" w:rsidRPr="00A87269">
        <w:t xml:space="preserve">.  </w:t>
      </w:r>
      <w:r w:rsidR="006245AA" w:rsidRPr="00A87269">
        <w:t>Attendance/Absence:</w:t>
      </w:r>
      <w:r w:rsidR="007622EF" w:rsidRPr="00A87269">
        <w:br/>
        <w:t xml:space="preserve">     1</w:t>
      </w:r>
      <w:proofErr w:type="gramStart"/>
      <w:r w:rsidR="007622EF" w:rsidRPr="00A87269">
        <w:t xml:space="preserve">.  </w:t>
      </w:r>
      <w:r w:rsidR="006245AA" w:rsidRPr="00A87269">
        <w:t>Refer</w:t>
      </w:r>
      <w:proofErr w:type="gramEnd"/>
      <w:r w:rsidR="006245AA" w:rsidRPr="00A87269">
        <w:t xml:space="preserve"> to school attendance</w:t>
      </w:r>
      <w:r w:rsidR="00571185" w:rsidRPr="00A87269">
        <w:t>/tardy</w:t>
      </w:r>
      <w:r w:rsidR="006245AA" w:rsidRPr="00A87269">
        <w:t xml:space="preserve"> policy in student handbook.</w:t>
      </w:r>
      <w:r w:rsidR="007622EF" w:rsidRPr="00A87269">
        <w:br/>
        <w:t xml:space="preserve">     2.  </w:t>
      </w:r>
      <w:r w:rsidR="006245AA" w:rsidRPr="00A87269">
        <w:t>Make up-work and tests follow policy in handbook</w:t>
      </w:r>
      <w:r w:rsidR="00D9285C">
        <w:t xml:space="preserve">, </w:t>
      </w:r>
      <w:r w:rsidR="006245AA" w:rsidRPr="00A87269">
        <w:t>and any exceptions must be made by appointment/see policy.</w:t>
      </w:r>
      <w:r w:rsidR="007622EF" w:rsidRPr="00A87269">
        <w:br/>
        <w:t xml:space="preserve">     3.  </w:t>
      </w:r>
      <w:r w:rsidR="0040189F" w:rsidRPr="00A87269">
        <w:t xml:space="preserve">If you are absent from clinical </w:t>
      </w:r>
      <w:r w:rsidR="003436E2">
        <w:t>you will be responsible for making up missed hours</w:t>
      </w:r>
      <w:r w:rsidR="007E31E9">
        <w:t xml:space="preserve"> by attending a healthcare </w:t>
      </w:r>
      <w:r w:rsidR="007E31E9">
        <w:br/>
        <w:t xml:space="preserve">          facility, completing a written report, or by viewing medical videos before or after school</w:t>
      </w:r>
      <w:r w:rsidR="003436E2">
        <w:t>.</w:t>
      </w:r>
      <w:r w:rsidR="00A87269" w:rsidRPr="00A87269">
        <w:t xml:space="preserve">            </w:t>
      </w:r>
    </w:p>
    <w:p w:rsidR="00F85888" w:rsidRPr="00A87269" w:rsidRDefault="006245AA" w:rsidP="00C84BBB">
      <w:pPr>
        <w:rPr>
          <w:b/>
          <w:u w:val="single"/>
        </w:rPr>
      </w:pPr>
      <w:r w:rsidRPr="00A87269">
        <w:rPr>
          <w:b/>
          <w:u w:val="single"/>
        </w:rPr>
        <w:t>Other</w:t>
      </w:r>
      <w:proofErr w:type="gramStart"/>
      <w:r w:rsidRPr="00A87269">
        <w:t>:</w:t>
      </w:r>
      <w:proofErr w:type="gramEnd"/>
      <w:r w:rsidR="00E132F9" w:rsidRPr="00A87269">
        <w:br/>
        <w:t xml:space="preserve">1.  </w:t>
      </w:r>
      <w:r w:rsidR="00335217" w:rsidRPr="00A87269">
        <w:t>Lab Fees $</w:t>
      </w:r>
      <w:r w:rsidR="00871E5F" w:rsidRPr="00A87269">
        <w:t>20</w:t>
      </w:r>
      <w:r w:rsidR="00335217" w:rsidRPr="00A87269">
        <w:t xml:space="preserve">.00 (Certification cards for CPR/First-Aid, </w:t>
      </w:r>
      <w:r w:rsidR="00AA0580">
        <w:t xml:space="preserve">name badge, </w:t>
      </w:r>
      <w:r w:rsidR="00335217" w:rsidRPr="00A87269">
        <w:t>and</w:t>
      </w:r>
      <w:r w:rsidR="00AA0580">
        <w:t xml:space="preserve"> other</w:t>
      </w:r>
      <w:r w:rsidR="00335217" w:rsidRPr="00A87269">
        <w:t xml:space="preserve"> supplies)</w:t>
      </w:r>
      <w:r w:rsidR="00E132F9" w:rsidRPr="00A87269">
        <w:br/>
        <w:t xml:space="preserve">2.  </w:t>
      </w:r>
      <w:r w:rsidRPr="00A87269">
        <w:t>HOSA Dues $</w:t>
      </w:r>
      <w:r w:rsidR="00571185" w:rsidRPr="00A87269">
        <w:t>20</w:t>
      </w:r>
      <w:r w:rsidRPr="00A87269">
        <w:t>.00 (</w:t>
      </w:r>
      <w:r w:rsidR="00731B49" w:rsidRPr="00A87269">
        <w:t xml:space="preserve">This includes </w:t>
      </w:r>
      <w:r w:rsidR="000F59C0" w:rsidRPr="00A87269">
        <w:t xml:space="preserve">state and national </w:t>
      </w:r>
      <w:r w:rsidR="00731B49" w:rsidRPr="00A87269">
        <w:t>dues</w:t>
      </w:r>
      <w:r w:rsidR="000F59C0" w:rsidRPr="00A87269">
        <w:t>).</w:t>
      </w:r>
      <w:r w:rsidR="00E132F9" w:rsidRPr="00A87269">
        <w:br/>
        <w:t xml:space="preserve">3.  </w:t>
      </w:r>
      <w:r w:rsidR="00335217" w:rsidRPr="00A87269">
        <w:t xml:space="preserve">Class materials/supplies: 3 ring </w:t>
      </w:r>
      <w:r w:rsidR="007E31E9">
        <w:t xml:space="preserve">binder </w:t>
      </w:r>
      <w:r w:rsidR="00335217" w:rsidRPr="00A87269">
        <w:t>notebook</w:t>
      </w:r>
      <w:proofErr w:type="gramStart"/>
      <w:r w:rsidR="00335217" w:rsidRPr="00A87269">
        <w:t xml:space="preserve">, </w:t>
      </w:r>
      <w:r w:rsidR="00CE4BC7" w:rsidRPr="00A87269">
        <w:t xml:space="preserve"> </w:t>
      </w:r>
      <w:r w:rsidR="00335217" w:rsidRPr="00A87269">
        <w:t>loose</w:t>
      </w:r>
      <w:proofErr w:type="gramEnd"/>
      <w:r w:rsidR="00335217" w:rsidRPr="00A87269">
        <w:t xml:space="preserve"> leaf paper, </w:t>
      </w:r>
      <w:r w:rsidR="00AA0580">
        <w:t xml:space="preserve">index cards, </w:t>
      </w:r>
      <w:r w:rsidR="00335217" w:rsidRPr="00A87269">
        <w:t>pens, pencils, high lighters, dividers</w:t>
      </w:r>
      <w:r w:rsidR="00731B49" w:rsidRPr="00A87269">
        <w:t xml:space="preserve"> </w:t>
      </w:r>
      <w:r w:rsidR="00335217" w:rsidRPr="00A87269">
        <w:t>for notebook</w:t>
      </w:r>
      <w:r w:rsidR="00CE4BC7" w:rsidRPr="00A87269">
        <w:t xml:space="preserve">, </w:t>
      </w:r>
      <w:r w:rsidR="00AA0580">
        <w:t>and a jump drive</w:t>
      </w:r>
      <w:r w:rsidR="00871E5F" w:rsidRPr="00A87269">
        <w:t>.</w:t>
      </w:r>
      <w:r w:rsidR="00335217" w:rsidRPr="00A87269">
        <w:t xml:space="preserve"> </w:t>
      </w:r>
      <w:r w:rsidR="00AA0580">
        <w:br/>
        <w:t>4</w:t>
      </w:r>
      <w:r w:rsidR="00E132F9" w:rsidRPr="00A87269">
        <w:t xml:space="preserve">.  </w:t>
      </w:r>
      <w:r w:rsidR="00335217" w:rsidRPr="00A87269">
        <w:t xml:space="preserve">Uniform for </w:t>
      </w:r>
      <w:r w:rsidR="00E132F9" w:rsidRPr="00A87269">
        <w:t>C</w:t>
      </w:r>
      <w:r w:rsidR="00335217" w:rsidRPr="00A87269">
        <w:t xml:space="preserve">linical: </w:t>
      </w:r>
      <w:r w:rsidR="00731B49" w:rsidRPr="00A87269">
        <w:t xml:space="preserve">Refer to Clinical Uniform letter for </w:t>
      </w:r>
      <w:r w:rsidR="00E132F9" w:rsidRPr="00A87269">
        <w:t>criteria</w:t>
      </w:r>
      <w:r w:rsidR="007E31E9">
        <w:t>.</w:t>
      </w:r>
      <w:r w:rsidR="004F3203" w:rsidRPr="00A87269">
        <w:t xml:space="preserve"> </w:t>
      </w:r>
      <w:r w:rsidR="00AA0580">
        <w:br/>
        <w:t>5</w:t>
      </w:r>
      <w:r w:rsidR="00E132F9" w:rsidRPr="00A87269">
        <w:t xml:space="preserve">.  </w:t>
      </w:r>
      <w:r w:rsidR="004F3203" w:rsidRPr="00A87269">
        <w:t xml:space="preserve">Immunizations/shots: </w:t>
      </w:r>
      <w:r w:rsidR="00E132F9" w:rsidRPr="00A87269">
        <w:t>S</w:t>
      </w:r>
      <w:r w:rsidR="004F3203" w:rsidRPr="00A87269">
        <w:t>ee clinical guidelines</w:t>
      </w:r>
      <w:r w:rsidR="00E132F9" w:rsidRPr="00A87269">
        <w:t xml:space="preserve"> Letter</w:t>
      </w:r>
      <w:r w:rsidR="004F3203" w:rsidRPr="00A87269">
        <w:t>.</w:t>
      </w:r>
      <w:r w:rsidR="00AA0580">
        <w:br/>
        <w:t>6</w:t>
      </w:r>
      <w:r w:rsidR="00E132F9" w:rsidRPr="00A87269">
        <w:t>.  Background Affidavit:  See Background Affidavit Letter.</w:t>
      </w:r>
      <w:r w:rsidR="00AA0580">
        <w:br/>
        <w:t>7.  Proof of Health Insurance</w:t>
      </w:r>
      <w:r w:rsidR="00AA0580">
        <w:br/>
        <w:t>8</w:t>
      </w:r>
      <w:r w:rsidR="00D93923" w:rsidRPr="00A87269">
        <w:t xml:space="preserve">.  </w:t>
      </w:r>
      <w:r w:rsidR="007622EF" w:rsidRPr="00A87269">
        <w:t>Some hospitals/clinics may have other requirements.  As I receive the information and if we need to add or make changes you will be notified.</w:t>
      </w:r>
      <w:r w:rsidR="00360E91" w:rsidRPr="00A87269">
        <w:br/>
      </w:r>
      <w:r w:rsidR="00731B49" w:rsidRPr="00A87269">
        <w:br/>
      </w:r>
      <w:r w:rsidR="004F3203" w:rsidRPr="00A87269">
        <w:rPr>
          <w:b/>
          <w:u w:val="single"/>
        </w:rPr>
        <w:t>Methods and Techniques for learning</w:t>
      </w:r>
      <w:proofErr w:type="gramStart"/>
      <w:r w:rsidR="00C84BBB" w:rsidRPr="00A87269">
        <w:rPr>
          <w:b/>
          <w:u w:val="single"/>
        </w:rPr>
        <w:t>:</w:t>
      </w:r>
      <w:proofErr w:type="gramEnd"/>
      <w:r w:rsidR="00C84BBB" w:rsidRPr="00A87269">
        <w:rPr>
          <w:b/>
          <w:u w:val="single"/>
        </w:rPr>
        <w:br/>
      </w:r>
      <w:r w:rsidR="00C84BBB" w:rsidRPr="00A87269">
        <w:t xml:space="preserve">A.  </w:t>
      </w:r>
      <w:r w:rsidR="004F3203" w:rsidRPr="00A87269">
        <w:t>Lecture</w:t>
      </w:r>
      <w:r w:rsidR="00D9285C" w:rsidRPr="00D9285C">
        <w:t xml:space="preserve"> </w:t>
      </w:r>
      <w:r w:rsidR="00D9285C">
        <w:tab/>
      </w:r>
      <w:r w:rsidR="00D9285C">
        <w:tab/>
      </w:r>
      <w:r w:rsidR="00D9285C">
        <w:tab/>
      </w:r>
      <w:r w:rsidR="00D9285C">
        <w:tab/>
      </w:r>
      <w:r w:rsidR="00D9285C">
        <w:tab/>
      </w:r>
      <w:r w:rsidR="00D9285C">
        <w:tab/>
      </w:r>
      <w:r w:rsidR="00D9285C" w:rsidRPr="00A87269">
        <w:t xml:space="preserve">F.  </w:t>
      </w:r>
      <w:proofErr w:type="gramStart"/>
      <w:r w:rsidR="00D9285C" w:rsidRPr="00A87269">
        <w:t>Guest Speakers</w:t>
      </w:r>
      <w:r w:rsidR="00C84BBB" w:rsidRPr="00A87269">
        <w:br/>
        <w:t>B.</w:t>
      </w:r>
      <w:proofErr w:type="gramEnd"/>
      <w:r w:rsidR="00C84BBB" w:rsidRPr="00A87269">
        <w:t xml:space="preserve">  </w:t>
      </w:r>
      <w:proofErr w:type="gramStart"/>
      <w:r w:rsidR="004F3203" w:rsidRPr="00A87269">
        <w:t>Skills practice (partner, manikins and alone)</w:t>
      </w:r>
      <w:r w:rsidR="00D9285C" w:rsidRPr="00D9285C">
        <w:t xml:space="preserve"> </w:t>
      </w:r>
      <w:r w:rsidR="00D9285C">
        <w:tab/>
      </w:r>
      <w:r w:rsidR="00D9285C">
        <w:tab/>
      </w:r>
      <w:r w:rsidR="00D9285C" w:rsidRPr="00A87269">
        <w:t>G.</w:t>
      </w:r>
      <w:proofErr w:type="gramEnd"/>
      <w:r w:rsidR="00D9285C" w:rsidRPr="00A87269">
        <w:t xml:space="preserve">  </w:t>
      </w:r>
      <w:proofErr w:type="gramStart"/>
      <w:r w:rsidR="00D9285C" w:rsidRPr="00A87269">
        <w:t>Independent Reading/research/projects</w:t>
      </w:r>
      <w:r w:rsidR="00C84BBB" w:rsidRPr="00A87269">
        <w:br/>
        <w:t>C.</w:t>
      </w:r>
      <w:proofErr w:type="gramEnd"/>
      <w:r w:rsidR="00C84BBB" w:rsidRPr="00A87269">
        <w:t xml:space="preserve">  </w:t>
      </w:r>
      <w:r w:rsidR="004F3203" w:rsidRPr="00A87269">
        <w:t>Video’s</w:t>
      </w:r>
      <w:r w:rsidR="00D9285C" w:rsidRPr="00D9285C">
        <w:t xml:space="preserve"> </w:t>
      </w:r>
      <w:r w:rsidR="00D9285C">
        <w:tab/>
      </w:r>
      <w:r w:rsidR="00D9285C">
        <w:tab/>
      </w:r>
      <w:r w:rsidR="00D9285C">
        <w:tab/>
      </w:r>
      <w:r w:rsidR="00D9285C">
        <w:tab/>
      </w:r>
      <w:r w:rsidR="00D9285C">
        <w:tab/>
      </w:r>
      <w:r w:rsidR="00D9285C">
        <w:tab/>
      </w:r>
      <w:r w:rsidR="00D9285C" w:rsidRPr="00A87269">
        <w:t xml:space="preserve">H.  </w:t>
      </w:r>
      <w:proofErr w:type="gramStart"/>
      <w:r w:rsidR="00D9285C" w:rsidRPr="00A87269">
        <w:t>Text</w:t>
      </w:r>
      <w:r w:rsidR="00C84BBB" w:rsidRPr="00A87269">
        <w:br/>
        <w:t>D.</w:t>
      </w:r>
      <w:proofErr w:type="gramEnd"/>
      <w:r w:rsidR="00C84BBB" w:rsidRPr="00A87269">
        <w:t xml:space="preserve">  </w:t>
      </w:r>
      <w:proofErr w:type="gramStart"/>
      <w:r w:rsidR="004F3203" w:rsidRPr="00A87269">
        <w:t>Demonstration</w:t>
      </w:r>
      <w:r w:rsidR="00D9285C" w:rsidRPr="00D9285C">
        <w:t xml:space="preserve"> </w:t>
      </w:r>
      <w:r w:rsidR="00D9285C">
        <w:tab/>
      </w:r>
      <w:r w:rsidR="00D9285C">
        <w:tab/>
      </w:r>
      <w:r w:rsidR="00D9285C">
        <w:tab/>
      </w:r>
      <w:r w:rsidR="00D9285C">
        <w:tab/>
      </w:r>
      <w:r w:rsidR="00D9285C">
        <w:tab/>
      </w:r>
      <w:r w:rsidR="00D9285C" w:rsidRPr="00A87269">
        <w:t>I.</w:t>
      </w:r>
      <w:proofErr w:type="gramEnd"/>
      <w:r w:rsidR="00D9285C" w:rsidRPr="00A87269">
        <w:t xml:space="preserve">  </w:t>
      </w:r>
      <w:proofErr w:type="gramStart"/>
      <w:r w:rsidR="00D9285C" w:rsidRPr="00A87269">
        <w:t>Integration with other subject area teachers</w:t>
      </w:r>
      <w:r w:rsidR="00C84BBB" w:rsidRPr="00A87269">
        <w:br/>
        <w:t>E.</w:t>
      </w:r>
      <w:proofErr w:type="gramEnd"/>
      <w:r w:rsidR="00C84BBB" w:rsidRPr="00A87269">
        <w:t xml:space="preserve">  </w:t>
      </w:r>
      <w:proofErr w:type="gramStart"/>
      <w:r w:rsidR="004F3203" w:rsidRPr="00A87269">
        <w:t>Tours/Clinical Experience</w:t>
      </w:r>
      <w:r w:rsidR="00EF3155">
        <w:tab/>
      </w:r>
      <w:r w:rsidR="00EF3155">
        <w:tab/>
      </w:r>
      <w:r w:rsidR="00EF3155">
        <w:tab/>
      </w:r>
      <w:r w:rsidR="00EF3155">
        <w:tab/>
        <w:t>J.</w:t>
      </w:r>
      <w:proofErr w:type="gramEnd"/>
      <w:r w:rsidR="00EF3155">
        <w:t xml:space="preserve">  Online Modules/Internet</w:t>
      </w:r>
      <w:r w:rsidR="00C84BBB" w:rsidRPr="00A87269">
        <w:br/>
      </w:r>
      <w:r w:rsidR="00C84BBB" w:rsidRPr="00A87269">
        <w:br/>
      </w:r>
      <w:r w:rsidR="00F85888" w:rsidRPr="00A87269">
        <w:rPr>
          <w:b/>
          <w:u w:val="single"/>
        </w:rPr>
        <w:t>TEXT</w:t>
      </w:r>
      <w:proofErr w:type="gramStart"/>
      <w:r w:rsidR="00F85888" w:rsidRPr="00A87269">
        <w:rPr>
          <w:b/>
          <w:u w:val="single"/>
        </w:rPr>
        <w:t>:</w:t>
      </w:r>
      <w:proofErr w:type="gramEnd"/>
      <w:r w:rsidR="00F85888" w:rsidRPr="00A87269">
        <w:rPr>
          <w:b/>
          <w:u w:val="single"/>
        </w:rPr>
        <w:br/>
      </w:r>
      <w:r w:rsidR="00F85888" w:rsidRPr="00A87269">
        <w:t>Diversified Health Occupations Seventh Edition</w:t>
      </w:r>
      <w:r w:rsidR="00F85888" w:rsidRPr="00A87269">
        <w:br/>
        <w:t>Diversified Health Occupations Workbook Seventh Edition</w:t>
      </w:r>
      <w:r w:rsidR="00EF3155">
        <w:br/>
        <w:t>Successful Nursing Assistant</w:t>
      </w:r>
      <w:r w:rsidR="00A87269" w:rsidRPr="00A87269">
        <w:br/>
        <w:t>Health Careers Today</w:t>
      </w:r>
    </w:p>
    <w:p w:rsidR="00692F0C" w:rsidRPr="00A87269" w:rsidRDefault="00DB3C20" w:rsidP="002F4BFF">
      <w:r w:rsidRPr="00A87269">
        <w:rPr>
          <w:b/>
          <w:u w:val="single"/>
        </w:rPr>
        <w:t>A</w:t>
      </w:r>
      <w:r w:rsidR="004F3203" w:rsidRPr="00A87269">
        <w:rPr>
          <w:b/>
          <w:u w:val="single"/>
        </w:rPr>
        <w:t>ssignment of Course Grade</w:t>
      </w:r>
      <w:proofErr w:type="gramStart"/>
      <w:r w:rsidR="004F3203" w:rsidRPr="00A87269">
        <w:rPr>
          <w:b/>
          <w:u w:val="single"/>
        </w:rPr>
        <w:t>:</w:t>
      </w:r>
      <w:proofErr w:type="gramEnd"/>
      <w:r w:rsidR="00E132F9" w:rsidRPr="00A87269">
        <w:rPr>
          <w:b/>
          <w:u w:val="single"/>
        </w:rPr>
        <w:br/>
      </w:r>
      <w:r w:rsidR="00E132F9" w:rsidRPr="00A87269">
        <w:t xml:space="preserve">A.  Grades will be posted </w:t>
      </w:r>
      <w:r w:rsidR="00CE4BC7" w:rsidRPr="00A87269">
        <w:t xml:space="preserve">as follows: </w:t>
      </w:r>
      <w:r w:rsidR="00E132F9" w:rsidRPr="00A87269">
        <w:t xml:space="preserve"> </w:t>
      </w:r>
      <w:r w:rsidR="00CE4BC7" w:rsidRPr="00A87269">
        <w:t>I=Incomplete, 59 and below=F,60-69=D,70-79=C,80-89=B,90-100=A</w:t>
      </w:r>
      <w:r w:rsidR="00C84BBB" w:rsidRPr="00A87269">
        <w:rPr>
          <w:u w:val="single"/>
        </w:rPr>
        <w:br/>
      </w:r>
      <w:r w:rsidR="00E132F9" w:rsidRPr="00A87269">
        <w:t>B</w:t>
      </w:r>
      <w:r w:rsidR="00C84BBB" w:rsidRPr="00A87269">
        <w:t xml:space="preserve">.  </w:t>
      </w:r>
      <w:r w:rsidR="004F3203" w:rsidRPr="00A87269">
        <w:t>There will be</w:t>
      </w:r>
      <w:r w:rsidR="00CE4BC7" w:rsidRPr="00A87269">
        <w:t xml:space="preserve"> </w:t>
      </w:r>
      <w:r w:rsidR="004F3203" w:rsidRPr="00A87269">
        <w:t xml:space="preserve">daily grades, </w:t>
      </w:r>
      <w:r w:rsidR="005D1E83" w:rsidRPr="00A87269">
        <w:t xml:space="preserve">weekly quiz, </w:t>
      </w:r>
      <w:r w:rsidR="004F3203" w:rsidRPr="00A87269">
        <w:t>ski</w:t>
      </w:r>
      <w:r w:rsidR="00CE4BC7" w:rsidRPr="00A87269">
        <w:t xml:space="preserve">lls test and written test grades.  </w:t>
      </w:r>
      <w:r w:rsidR="005D1E83" w:rsidRPr="00A87269">
        <w:t>Conduct and professionalism can affect grades as well.</w:t>
      </w:r>
      <w:r w:rsidR="00C84BBB" w:rsidRPr="00A87269">
        <w:br/>
      </w:r>
      <w:r w:rsidR="00DB707F" w:rsidRPr="00A87269">
        <w:t>C</w:t>
      </w:r>
      <w:r w:rsidR="00C84BBB" w:rsidRPr="00A87269">
        <w:t xml:space="preserve">.  All </w:t>
      </w:r>
      <w:r w:rsidR="00446E10" w:rsidRPr="00A87269">
        <w:t>midterm</w:t>
      </w:r>
      <w:r w:rsidR="00C84BBB" w:rsidRPr="00A87269">
        <w:t xml:space="preserve"> and final grades are determined according to the handbook.</w:t>
      </w:r>
    </w:p>
    <w:sectPr w:rsidR="00692F0C" w:rsidRPr="00A87269" w:rsidSect="002F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BA2"/>
    <w:multiLevelType w:val="hybridMultilevel"/>
    <w:tmpl w:val="C1569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45FE"/>
    <w:multiLevelType w:val="hybridMultilevel"/>
    <w:tmpl w:val="F5F8B240"/>
    <w:lvl w:ilvl="0" w:tplc="89EE11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7935B31"/>
    <w:multiLevelType w:val="hybridMultilevel"/>
    <w:tmpl w:val="E93A0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5B93"/>
    <w:multiLevelType w:val="hybridMultilevel"/>
    <w:tmpl w:val="21623796"/>
    <w:lvl w:ilvl="0" w:tplc="0D7C9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802622"/>
    <w:multiLevelType w:val="hybridMultilevel"/>
    <w:tmpl w:val="A43AE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B7A12"/>
    <w:multiLevelType w:val="hybridMultilevel"/>
    <w:tmpl w:val="5998A5D4"/>
    <w:lvl w:ilvl="0" w:tplc="D7B86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D52EC9"/>
    <w:multiLevelType w:val="hybridMultilevel"/>
    <w:tmpl w:val="058AE1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6063E"/>
    <w:multiLevelType w:val="hybridMultilevel"/>
    <w:tmpl w:val="B1DA8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42B4"/>
    <w:multiLevelType w:val="hybridMultilevel"/>
    <w:tmpl w:val="500079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402F1"/>
    <w:multiLevelType w:val="hybridMultilevel"/>
    <w:tmpl w:val="AAD88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377C"/>
    <w:multiLevelType w:val="hybridMultilevel"/>
    <w:tmpl w:val="F7C4B174"/>
    <w:lvl w:ilvl="0" w:tplc="49F0C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4BFF"/>
    <w:rsid w:val="00013FAE"/>
    <w:rsid w:val="00072E81"/>
    <w:rsid w:val="000B0E9E"/>
    <w:rsid w:val="000F59C0"/>
    <w:rsid w:val="00141DC2"/>
    <w:rsid w:val="00181D06"/>
    <w:rsid w:val="001F103B"/>
    <w:rsid w:val="002120F5"/>
    <w:rsid w:val="0028244C"/>
    <w:rsid w:val="002F4BFF"/>
    <w:rsid w:val="0031327D"/>
    <w:rsid w:val="00320A0C"/>
    <w:rsid w:val="00335217"/>
    <w:rsid w:val="00335FB3"/>
    <w:rsid w:val="003436E2"/>
    <w:rsid w:val="00360E91"/>
    <w:rsid w:val="0037285A"/>
    <w:rsid w:val="003E1192"/>
    <w:rsid w:val="0040189F"/>
    <w:rsid w:val="00404222"/>
    <w:rsid w:val="004051A4"/>
    <w:rsid w:val="00446E10"/>
    <w:rsid w:val="004B1886"/>
    <w:rsid w:val="004F0235"/>
    <w:rsid w:val="004F3203"/>
    <w:rsid w:val="00571185"/>
    <w:rsid w:val="005D1E83"/>
    <w:rsid w:val="006245AA"/>
    <w:rsid w:val="00692F0C"/>
    <w:rsid w:val="007073C5"/>
    <w:rsid w:val="00731B49"/>
    <w:rsid w:val="007622EF"/>
    <w:rsid w:val="007E31E9"/>
    <w:rsid w:val="007E5A83"/>
    <w:rsid w:val="008207B9"/>
    <w:rsid w:val="00851B2E"/>
    <w:rsid w:val="00871E5F"/>
    <w:rsid w:val="008852BB"/>
    <w:rsid w:val="008B7EA1"/>
    <w:rsid w:val="00A30201"/>
    <w:rsid w:val="00A43297"/>
    <w:rsid w:val="00A86DB4"/>
    <w:rsid w:val="00A87269"/>
    <w:rsid w:val="00AA0580"/>
    <w:rsid w:val="00AA0EF8"/>
    <w:rsid w:val="00B07FB5"/>
    <w:rsid w:val="00B536F1"/>
    <w:rsid w:val="00BB07EF"/>
    <w:rsid w:val="00BF3BC2"/>
    <w:rsid w:val="00BF6EAA"/>
    <w:rsid w:val="00C217EE"/>
    <w:rsid w:val="00C46BE1"/>
    <w:rsid w:val="00C83A36"/>
    <w:rsid w:val="00C84BBB"/>
    <w:rsid w:val="00CE4BC7"/>
    <w:rsid w:val="00D50B64"/>
    <w:rsid w:val="00D80E2B"/>
    <w:rsid w:val="00D920E4"/>
    <w:rsid w:val="00D9285C"/>
    <w:rsid w:val="00D93923"/>
    <w:rsid w:val="00DB3C20"/>
    <w:rsid w:val="00DB707F"/>
    <w:rsid w:val="00E132F9"/>
    <w:rsid w:val="00E21789"/>
    <w:rsid w:val="00E4309C"/>
    <w:rsid w:val="00EE31F4"/>
    <w:rsid w:val="00EF3155"/>
    <w:rsid w:val="00F3786F"/>
    <w:rsid w:val="00F526C0"/>
    <w:rsid w:val="00F8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BFF"/>
    <w:pPr>
      <w:ind w:left="720"/>
      <w:contextualSpacing/>
    </w:pPr>
  </w:style>
  <w:style w:type="table" w:styleId="TableGrid">
    <w:name w:val="Table Grid"/>
    <w:basedOn w:val="TableNormal"/>
    <w:uiPriority w:val="59"/>
    <w:rsid w:val="00335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F31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F315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Forrest County Agricultural High School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jgrice</dc:creator>
  <cp:keywords/>
  <dc:description/>
  <cp:lastModifiedBy>jgrice</cp:lastModifiedBy>
  <cp:revision>47</cp:revision>
  <cp:lastPrinted>2011-04-25T18:00:00Z</cp:lastPrinted>
  <dcterms:created xsi:type="dcterms:W3CDTF">2008-07-14T18:00:00Z</dcterms:created>
  <dcterms:modified xsi:type="dcterms:W3CDTF">2013-08-02T21:32:00Z</dcterms:modified>
</cp:coreProperties>
</file>